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5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hint="eastAsia" w:ascii="黑体" w:hAnsi="黑体" w:eastAsia="黑体" w:cs="黑体"/>
          <w:spacing w:val="-15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后疫情时代酒店赋能</w:t>
      </w:r>
      <w:r>
        <w:rPr>
          <w:rFonts w:ascii="黑体" w:hAnsi="黑体" w:eastAsia="黑体" w:cs="黑体"/>
          <w:spacing w:val="-15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”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2022年度系列培训课程计划</w:t>
      </w:r>
    </w:p>
    <w:tbl>
      <w:tblPr>
        <w:tblStyle w:val="4"/>
        <w:tblW w:w="14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559"/>
        <w:gridCol w:w="1569"/>
        <w:gridCol w:w="2284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552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课程模块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课程主题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课程讲师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课程时间</w:t>
            </w:r>
          </w:p>
        </w:tc>
        <w:tc>
          <w:tcPr>
            <w:tcW w:w="357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适合人群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模块一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创新营销与线上运营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深耕中国·酒店商业增长与产品真相实战方案解密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刘 超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5月24日-25日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长沙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JW万豪</w:t>
            </w:r>
          </w:p>
        </w:tc>
        <w:tc>
          <w:tcPr>
            <w:tcW w:w="3579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业主代表、酒店总经理、副总经理、各部门总监及经理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tabs>
                <w:tab w:val="center" w:pos="2348"/>
                <w:tab w:val="right" w:pos="4577"/>
              </w:tabs>
              <w:spacing w:line="240" w:lineRule="auto"/>
              <w:jc w:val="left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新常态下酒店线上运营新模式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江 纯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模块二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创新思维与实践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微软雅黑" w:hAnsi="微软雅黑" w:eastAsia="微软雅黑" w:cs="Arial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后疫情时代的⾏业洞察与酒店新零售落地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刘乃钢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6月23日-24日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长沙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明城国际大酒店</w:t>
            </w:r>
          </w:p>
        </w:tc>
        <w:tc>
          <w:tcPr>
            <w:tcW w:w="3579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酒店总经理、副总经理、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各部门总监及经理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数字化时代酒店创新三部曲与空间心动力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余 珺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模块三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人效提升与领导力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tabs>
                <w:tab w:val="center" w:pos="2348"/>
                <w:tab w:val="right" w:pos="4577"/>
              </w:tabs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流程视角下的酒店人才发展体系建设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赵莉敏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7月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长沙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大汉金桥华美达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广场酒店</w:t>
            </w:r>
          </w:p>
        </w:tc>
        <w:tc>
          <w:tcPr>
            <w:tcW w:w="3579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酒店总经理、副总经理、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行政/人事总监及人资部经理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tabs>
                <w:tab w:val="center" w:pos="2348"/>
                <w:tab w:val="right" w:pos="4577"/>
              </w:tabs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人才发展体系建设实战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Diana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模块四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收益管理与服务体系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疫后酒店收益管理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 冉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长沙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华天大酒店</w:t>
            </w:r>
          </w:p>
        </w:tc>
        <w:tc>
          <w:tcPr>
            <w:tcW w:w="3579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酒店总经理、副总经理、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营销总监、收益经理、渠道专员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优质服务体系打造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吴春凤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模块五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财务管理与财务预算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酒店年度预算制定与审核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谷小溪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长沙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金茂豪华精选酒店</w:t>
            </w:r>
          </w:p>
        </w:tc>
        <w:tc>
          <w:tcPr>
            <w:tcW w:w="3579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酒店总经理、副总经理、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财务总监及经理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企业常见涉税痛点与应对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朱志春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52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模块六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设计工程与美学创新</w:t>
            </w: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筹建期与改造期酒店的设计与工程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 新</w:t>
            </w: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长沙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延年城际酒店</w:t>
            </w:r>
          </w:p>
        </w:tc>
        <w:tc>
          <w:tcPr>
            <w:tcW w:w="3579" w:type="dxa"/>
            <w:vMerge w:val="restart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酒店总经理、副总经理、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工程总监及部门经理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52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5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酒店美学与创新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 伟</w:t>
            </w: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9" w:type="dxa"/>
            <w:vMerge w:val="continue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E274E"/>
    <w:rsid w:val="6DD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2022-04-29T01:57:00Z</dcterms:created>
  <dc:creator>陈婉容</dc:creator>
  <cp:lastModifiedBy>陈婉容</cp:lastModifiedBy>
  <dcterms:modified xsi:type="dcterms:W3CDTF">2022-04-29T01:58:55Z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3598BA3F60D14348A397C8878E05598F</vt:lpwstr>
  </property>
</Properties>
</file>